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CB" w:rsidRPr="000935CB" w:rsidRDefault="000935CB" w:rsidP="00093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1628, anno in cui è ambientata la vicenda, era il secondo anno di annata scarsa nel Nord Italia, le cui </w:t>
      </w:r>
      <w:r w:rsidRPr="000935CB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cause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sono da cercare nella concomitanza di alcuni fattori storico-sociali:</w:t>
      </w:r>
    </w:p>
    <w:p w:rsidR="000935CB" w:rsidRPr="000935CB" w:rsidRDefault="000935CB" w:rsidP="00093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la </w:t>
      </w:r>
      <w:hyperlink r:id="rId5" w:tooltip="w:guerra dei trent'anni" w:history="1">
        <w:r w:rsidRPr="000935CB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guerra dei trent'anni</w:t>
        </w:r>
      </w:hyperlink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che aveva portato distruzione in tutta l'Italia del Nord. Ne è un esempio l'episodio della </w:t>
      </w:r>
      <w:hyperlink r:id="rId6" w:tooltip="w:Guerra di successione di Mantova e del Monferrato" w:history="1">
        <w:r w:rsidRPr="000935CB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guerra di successione di Mantova</w:t>
        </w:r>
      </w:hyperlink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, oggetto del discorso tra i commensali alla tavola di don Rodrigo nel quinto capitolo;</w:t>
      </w:r>
    </w:p>
    <w:p w:rsidR="000935CB" w:rsidRPr="000935CB" w:rsidRDefault="000935CB" w:rsidP="00093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una vera e propria speculazione da parte di chi poteva permettersi il pane e del grano, acquistando per rivendere quando i prezzi sarebbero saliti;</w:t>
      </w:r>
    </w:p>
    <w:p w:rsidR="000935CB" w:rsidRPr="000935CB" w:rsidRDefault="000935CB" w:rsidP="000935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una reale coincidenza di questi fattori con annate scarsamente produttive a causa di fattori climatici e ambientali.</w:t>
      </w:r>
    </w:p>
    <w:p w:rsidR="000935CB" w:rsidRPr="000935CB" w:rsidRDefault="000935CB" w:rsidP="000935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Queste cause emergono in modo evidente nel </w:t>
      </w:r>
      <w:hyperlink r:id="rId7" w:tooltip="I promessi sposi/Capitolo 12" w:history="1">
        <w:r w:rsidRPr="000935CB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capitolo 12</w:t>
        </w:r>
      </w:hyperlink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, quando Manzoni spiega le cause storiche della carestia e insieme analizza anche altri due aspetti della carestia dal punto di vista sociale:</w:t>
      </w:r>
    </w:p>
    <w:p w:rsidR="000935CB" w:rsidRPr="000935CB" w:rsidRDefault="000935CB" w:rsidP="000935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</w:t>
      </w:r>
      <w:r w:rsidRPr="000935CB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comportamento della massa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Il popolo cercò un </w:t>
      </w:r>
      <w:r w:rsidRPr="000935CB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capro espiatorio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e riversò la colpa della carestia sugli incettatori e sui fornai (come si farà con la peste per gli untori). Addirittura si parlava con certezza di derrate di farina e pane nascoste dai fornai e spedite segretamente in altri paesi.</w:t>
      </w:r>
    </w:p>
    <w:p w:rsidR="000935CB" w:rsidRPr="000935CB" w:rsidRDefault="000935CB" w:rsidP="000935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Le </w:t>
      </w:r>
      <w:r w:rsidRPr="000935CB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responsabilità dei singoli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Il governatore don Gonzalo </w:t>
      </w:r>
      <w:proofErr w:type="spellStart"/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Fernandez</w:t>
      </w:r>
      <w:proofErr w:type="spellEnd"/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de Cordova, "</w:t>
      </w:r>
      <w:r w:rsidRPr="000935CB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ingolfato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" dalla guerra e dall'assedio di Casale Monferrato, venne sostituito dal gran cancelliere Antonio </w:t>
      </w:r>
      <w:proofErr w:type="spellStart"/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Ferrer</w:t>
      </w:r>
      <w:proofErr w:type="spellEnd"/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. Egli non ebbe però il coraggio di prendere provvedimenti impopolari e, senza una vera cognizione dei fatti, impose un limite al prezzo del pane, costringendo i fornai alla miseria.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br/>
        <w:t xml:space="preserve">Venne così istituita una </w:t>
      </w:r>
      <w:r w:rsidRPr="000935CB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giunta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che rialzò il prezzo del pane, con la conseguente collera della massa ("</w:t>
      </w:r>
      <w:r w:rsidRPr="000935CB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I fornai respirarono, ma il popolo imbestialì</w:t>
      </w:r>
      <w:r w:rsidRPr="000935CB">
        <w:rPr>
          <w:rFonts w:ascii="Verdana" w:eastAsia="Times New Roman" w:hAnsi="Verdana" w:cs="Times New Roman"/>
          <w:sz w:val="24"/>
          <w:szCs w:val="24"/>
          <w:lang w:eastAsia="it-IT"/>
        </w:rPr>
        <w:t>").</w:t>
      </w:r>
    </w:p>
    <w:p w:rsidR="00795982" w:rsidRDefault="00795982"/>
    <w:sectPr w:rsidR="00795982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732DB"/>
    <w:multiLevelType w:val="multilevel"/>
    <w:tmpl w:val="0CB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61AB6"/>
    <w:multiLevelType w:val="multilevel"/>
    <w:tmpl w:val="D2F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35CB"/>
    <w:rsid w:val="000935CB"/>
    <w:rsid w:val="00795982"/>
    <w:rsid w:val="00D65FD3"/>
    <w:rsid w:val="00D8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35C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9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.wikibooks.org/wiki/I_promessi_sposi/Capitolo_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Guerra_di_successione_di_Mantova_e_del_Monferrato" TargetMode="External"/><Relationship Id="rId5" Type="http://schemas.openxmlformats.org/officeDocument/2006/relationships/hyperlink" Target="http://it.wikipedia.org/wiki/guerra_dei_trent%27an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2012-02-11T15:40:00Z</dcterms:created>
  <dcterms:modified xsi:type="dcterms:W3CDTF">2012-02-11T15:40:00Z</dcterms:modified>
</cp:coreProperties>
</file>